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8" w:rsidRDefault="00861A23">
      <w:pPr>
        <w:rPr>
          <w:rFonts w:ascii="Arial" w:hAnsi="Arial" w:cs="Arial"/>
          <w:b/>
          <w:sz w:val="32"/>
          <w:szCs w:val="32"/>
        </w:rPr>
      </w:pPr>
      <w:r w:rsidRPr="00861A2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88565" wp14:editId="42023AE0">
                <wp:simplePos x="0" y="0"/>
                <wp:positionH relativeFrom="column">
                  <wp:posOffset>-66674</wp:posOffset>
                </wp:positionH>
                <wp:positionV relativeFrom="paragraph">
                  <wp:posOffset>354330</wp:posOffset>
                </wp:positionV>
                <wp:extent cx="7372350" cy="704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23" w:rsidRDefault="0037649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Long Road Form College</w:t>
                            </w:r>
                            <w:r w:rsidR="00861A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A23" w:rsidRPr="004D44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recognises</w:t>
                            </w:r>
                            <w:r w:rsidR="00861A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7.9pt;width:58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">
                <v:textbox>
                  <w:txbxContent>
                    <w:p w:rsidR="00861A23" w:rsidRDefault="0037649D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Long Road Form College</w:t>
                      </w:r>
                      <w:r w:rsidR="00861A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1A23" w:rsidRPr="004D44B1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recognises</w:t>
                      </w:r>
                      <w:r w:rsidR="00861A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it has a duty under Section 26 of the Counter-Terrorism and Security Act, 2015, in the exercise of its functions, to have due regard to the need to prevent people from being drawn into terrorism.</w:t>
                      </w:r>
                    </w:p>
                  </w:txbxContent>
                </v:textbox>
              </v:shape>
            </w:pict>
          </mc:Fallback>
        </mc:AlternateContent>
      </w:r>
      <w:r w:rsidRPr="00861A23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6C47" wp14:editId="1ADBD5E2">
                <wp:simplePos x="0" y="0"/>
                <wp:positionH relativeFrom="column">
                  <wp:posOffset>7305675</wp:posOffset>
                </wp:positionH>
                <wp:positionV relativeFrom="paragraph">
                  <wp:posOffset>-36195</wp:posOffset>
                </wp:positionV>
                <wp:extent cx="2374265" cy="122872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A23" w:rsidRPr="00861A23" w:rsidRDefault="00A2112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661EF8" wp14:editId="1DBED149">
                                  <wp:extent cx="1095375" cy="954352"/>
                                  <wp:effectExtent l="0" t="0" r="0" b="0"/>
                                  <wp:docPr id="3" name="Picture 3" descr="V:\College Marketing\Long Road New Logo\Raw Logos\LONG_ROAD_MOTIF_P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:\College Marketing\Long Road New Logo\Raw Logos\LONG_ROAD_MOTIF_P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954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5.25pt;margin-top:-2.85pt;width:186.95pt;height:96.7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" stroked="f">
                <v:textbox style="mso-fit-shape-to-text:t">
                  <w:txbxContent>
                    <w:p w:rsidR="00861A23" w:rsidRPr="00861A23" w:rsidRDefault="00A2112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661EF8" wp14:editId="1DBED149">
                            <wp:extent cx="1095375" cy="954352"/>
                            <wp:effectExtent l="0" t="0" r="0" b="0"/>
                            <wp:docPr id="3" name="Picture 3" descr="V:\College Marketing\Long Road New Logo\Raw Logos\LONG_ROAD_MOTIF_P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:\College Marketing\Long Road New Logo\Raw Logos\LONG_ROAD_MOTIF_P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54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4B1" w:rsidRPr="00090C92">
        <w:rPr>
          <w:rFonts w:ascii="Arial" w:hAnsi="Arial" w:cs="Arial"/>
          <w:b/>
          <w:sz w:val="32"/>
          <w:szCs w:val="32"/>
        </w:rPr>
        <w:t>“Prevent” Action Plan</w:t>
      </w:r>
    </w:p>
    <w:p w:rsidR="00861A23" w:rsidRDefault="00A21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44B1" w:rsidRDefault="004D44B1">
      <w:pPr>
        <w:rPr>
          <w:rFonts w:ascii="Arial" w:hAnsi="Arial" w:cs="Arial"/>
          <w:sz w:val="24"/>
          <w:szCs w:val="24"/>
        </w:rPr>
      </w:pPr>
    </w:p>
    <w:p w:rsidR="00A2112A" w:rsidRPr="00861A23" w:rsidRDefault="00A2112A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978"/>
        <w:gridCol w:w="4207"/>
        <w:gridCol w:w="5629"/>
        <w:gridCol w:w="2071"/>
      </w:tblGrid>
      <w:tr w:rsidR="004D44B1" w:rsidTr="00E1724F">
        <w:tc>
          <w:tcPr>
            <w:tcW w:w="2978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Duty</w:t>
            </w:r>
          </w:p>
          <w:p w:rsidR="00A2112A" w:rsidRDefault="00A211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this means</w:t>
            </w:r>
          </w:p>
        </w:tc>
        <w:tc>
          <w:tcPr>
            <w:tcW w:w="5629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071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</w:tr>
      <w:tr w:rsidR="00C31174" w:rsidTr="00E1724F">
        <w:tc>
          <w:tcPr>
            <w:tcW w:w="14885" w:type="dxa"/>
            <w:gridSpan w:val="4"/>
          </w:tcPr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1174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  <w:p w:rsidR="00C31174" w:rsidRPr="00C31174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E1724F">
        <w:tc>
          <w:tcPr>
            <w:tcW w:w="2978" w:type="dxa"/>
          </w:tcPr>
          <w:p w:rsidR="004D44B1" w:rsidRPr="004D44B1" w:rsidRDefault="004D44B1" w:rsidP="00792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</w:t>
            </w:r>
            <w:r w:rsidR="00201A3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risk of </w:t>
            </w:r>
            <w:r w:rsidR="00792294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>
              <w:rPr>
                <w:rFonts w:ascii="Arial" w:hAnsi="Arial" w:cs="Arial"/>
                <w:sz w:val="24"/>
                <w:szCs w:val="24"/>
              </w:rPr>
              <w:t>being drawn into terrorism</w:t>
            </w:r>
          </w:p>
        </w:tc>
        <w:tc>
          <w:tcPr>
            <w:tcW w:w="4207" w:type="dxa"/>
          </w:tcPr>
          <w:p w:rsidR="004D44B1" w:rsidRPr="00A2112A" w:rsidRDefault="004D44B1" w:rsidP="00792294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E1724F">
              <w:rPr>
                <w:rFonts w:ascii="Arial" w:hAnsi="Arial" w:cs="Arial"/>
                <w:sz w:val="24"/>
                <w:szCs w:val="24"/>
              </w:rPr>
              <w:t>can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demonstrate a </w:t>
            </w:r>
            <w:r w:rsidRPr="00E1724F">
              <w:rPr>
                <w:rFonts w:ascii="Arial" w:hAnsi="Arial" w:cs="Arial"/>
                <w:sz w:val="24"/>
                <w:szCs w:val="24"/>
              </w:rPr>
              <w:t>general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understanding of the risks affecting young people</w:t>
            </w:r>
            <w:r w:rsidR="00813033" w:rsidRPr="00A211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29" w:type="dxa"/>
          </w:tcPr>
          <w:p w:rsidR="004D44B1" w:rsidRPr="00A2112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r w:rsidR="003134C5" w:rsidRPr="00A2112A">
              <w:rPr>
                <w:rFonts w:ascii="Arial" w:hAnsi="Arial" w:cs="Arial"/>
                <w:sz w:val="24"/>
                <w:szCs w:val="24"/>
              </w:rPr>
              <w:t>are required to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read “Keeping Childr</w:t>
            </w:r>
            <w:r w:rsidR="00511152" w:rsidRPr="00A2112A">
              <w:rPr>
                <w:rFonts w:ascii="Arial" w:hAnsi="Arial" w:cs="Arial"/>
                <w:sz w:val="24"/>
                <w:szCs w:val="24"/>
              </w:rPr>
              <w:t>en S</w:t>
            </w:r>
            <w:r w:rsidR="0086543F" w:rsidRPr="00A2112A">
              <w:rPr>
                <w:rFonts w:ascii="Arial" w:hAnsi="Arial" w:cs="Arial"/>
                <w:sz w:val="24"/>
                <w:szCs w:val="24"/>
              </w:rPr>
              <w:t>afe in Education” (</w:t>
            </w:r>
            <w:proofErr w:type="spellStart"/>
            <w:r w:rsidR="0086543F" w:rsidRPr="00A2112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="0086543F" w:rsidRPr="00A2112A">
              <w:rPr>
                <w:rFonts w:ascii="Arial" w:hAnsi="Arial" w:cs="Arial"/>
                <w:sz w:val="24"/>
                <w:szCs w:val="24"/>
              </w:rPr>
              <w:t xml:space="preserve">, 2018) Part One and Annex </w:t>
            </w:r>
            <w:commentRangeStart w:id="0"/>
            <w:r w:rsidR="0086543F" w:rsidRPr="00A2112A">
              <w:rPr>
                <w:rFonts w:ascii="Arial" w:hAnsi="Arial" w:cs="Arial"/>
                <w:sz w:val="24"/>
                <w:szCs w:val="24"/>
              </w:rPr>
              <w:t>A</w:t>
            </w:r>
            <w:commentRangeEnd w:id="0"/>
            <w:r w:rsidR="0032271C" w:rsidRPr="00A2112A">
              <w:rPr>
                <w:rStyle w:val="CommentReference"/>
              </w:rPr>
              <w:commentReference w:id="0"/>
            </w:r>
          </w:p>
          <w:p w:rsidR="003134C5" w:rsidRPr="00E1724F" w:rsidRDefault="003134C5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E1724F">
              <w:rPr>
                <w:rFonts w:ascii="Arial" w:hAnsi="Arial" w:cs="Arial"/>
                <w:sz w:val="24"/>
                <w:szCs w:val="24"/>
              </w:rPr>
              <w:t>have</w:t>
            </w:r>
            <w:proofErr w:type="gramEnd"/>
            <w:r w:rsidRPr="00E1724F">
              <w:rPr>
                <w:rFonts w:ascii="Arial" w:hAnsi="Arial" w:cs="Arial"/>
                <w:sz w:val="24"/>
                <w:szCs w:val="24"/>
              </w:rPr>
              <w:t xml:space="preserve"> completed on-line Prevent training and all new staff are required to complete this training as part of Induction.</w:t>
            </w:r>
          </w:p>
          <w:p w:rsidR="00C75F30" w:rsidRPr="00A2112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The Prevent Lead has informed staff of their duties as set out in “The Prevent Duty” (</w:t>
            </w:r>
            <w:proofErr w:type="spellStart"/>
            <w:r w:rsidRPr="00A2112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A2112A">
              <w:rPr>
                <w:rFonts w:ascii="Arial" w:hAnsi="Arial" w:cs="Arial"/>
                <w:sz w:val="24"/>
                <w:szCs w:val="24"/>
              </w:rPr>
              <w:t>, June 2015).</w:t>
            </w:r>
          </w:p>
        </w:tc>
        <w:tc>
          <w:tcPr>
            <w:tcW w:w="2071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4C5" w:rsidRDefault="003134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3134C5" w:rsidRDefault="00313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4C5" w:rsidRDefault="00313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4C5" w:rsidRDefault="00313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  <w:bookmarkStart w:id="1" w:name="_GoBack"/>
        <w:bookmarkEnd w:id="1"/>
      </w:tr>
      <w:tr w:rsidR="004D44B1" w:rsidTr="00E1724F">
        <w:tc>
          <w:tcPr>
            <w:tcW w:w="2978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4D44B1" w:rsidRPr="00A2112A" w:rsidRDefault="00C75F30" w:rsidP="00792294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Staff can identify individual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students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who may be at risk of radicalisation and how to support them.</w:t>
            </w:r>
          </w:p>
        </w:tc>
        <w:tc>
          <w:tcPr>
            <w:tcW w:w="5629" w:type="dxa"/>
          </w:tcPr>
          <w:p w:rsidR="004D44B1" w:rsidRPr="00A2112A" w:rsidRDefault="003134C5" w:rsidP="003134C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>Regular in-house CPD and on-line training materials have</w:t>
            </w:r>
            <w:r w:rsidR="00C75F30" w:rsidRPr="00A2112A">
              <w:rPr>
                <w:rFonts w:ascii="Arial" w:hAnsi="Arial" w:cs="Arial"/>
                <w:sz w:val="24"/>
                <w:szCs w:val="24"/>
              </w:rPr>
              <w:t xml:space="preserve"> informed staff about signs and indicators of radicalisation.</w:t>
            </w:r>
          </w:p>
        </w:tc>
        <w:tc>
          <w:tcPr>
            <w:tcW w:w="2071" w:type="dxa"/>
          </w:tcPr>
          <w:p w:rsidR="004D44B1" w:rsidRDefault="003134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 All staff</w:t>
            </w:r>
          </w:p>
        </w:tc>
      </w:tr>
      <w:tr w:rsidR="004D44B1" w:rsidTr="00E1724F">
        <w:tc>
          <w:tcPr>
            <w:tcW w:w="2978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4D44B1" w:rsidRPr="00A2112A" w:rsidRDefault="00C75F30" w:rsidP="00792294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There is a clear procedure in place for protecting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young people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at risk of radicalisation.</w:t>
            </w:r>
          </w:p>
        </w:tc>
        <w:tc>
          <w:tcPr>
            <w:tcW w:w="5629" w:type="dxa"/>
          </w:tcPr>
          <w:p w:rsidR="004D44B1" w:rsidRPr="00A2112A" w:rsidRDefault="00C75F30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A2112A">
              <w:rPr>
                <w:rFonts w:ascii="Arial" w:hAnsi="Arial" w:cs="Arial"/>
                <w:sz w:val="24"/>
                <w:szCs w:val="24"/>
              </w:rPr>
              <w:t>have</w:t>
            </w:r>
            <w:proofErr w:type="gramEnd"/>
            <w:r w:rsidRPr="00A2112A">
              <w:rPr>
                <w:rFonts w:ascii="Arial" w:hAnsi="Arial" w:cs="Arial"/>
                <w:sz w:val="24"/>
                <w:szCs w:val="24"/>
              </w:rPr>
              <w:t xml:space="preserve"> read the Safeguarding Policy which includes a statement regarding the</w:t>
            </w:r>
            <w:r w:rsidR="00E2464B">
              <w:rPr>
                <w:rFonts w:ascii="Arial" w:hAnsi="Arial" w:cs="Arial"/>
                <w:sz w:val="24"/>
                <w:szCs w:val="24"/>
              </w:rPr>
              <w:t xml:space="preserve"> college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’s “Prevent” </w:t>
            </w:r>
            <w:commentRangeStart w:id="2"/>
            <w:r w:rsidRPr="00A2112A">
              <w:rPr>
                <w:rFonts w:ascii="Arial" w:hAnsi="Arial" w:cs="Arial"/>
                <w:sz w:val="24"/>
                <w:szCs w:val="24"/>
              </w:rPr>
              <w:t>duty</w:t>
            </w:r>
            <w:commentRangeEnd w:id="2"/>
            <w:r w:rsidR="0032271C" w:rsidRPr="00A2112A">
              <w:rPr>
                <w:rStyle w:val="CommentReference"/>
              </w:rPr>
              <w:commentReference w:id="2"/>
            </w:r>
            <w:r w:rsidRPr="00A211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A64" w:rsidRPr="00E1724F" w:rsidRDefault="00C75F30" w:rsidP="00D4564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All staff understand how to record and report concerns regarding risk of radicalisation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 using the existing Safeguarding procedures</w:t>
            </w:r>
            <w:proofErr w:type="gramStart"/>
            <w:r w:rsidR="00D15B95" w:rsidRPr="00E1724F">
              <w:rPr>
                <w:rFonts w:ascii="Arial" w:hAnsi="Arial" w:cs="Arial"/>
                <w:sz w:val="24"/>
                <w:szCs w:val="24"/>
              </w:rPr>
              <w:t>.</w:t>
            </w:r>
            <w:r w:rsidRPr="00E1724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D15B95" w:rsidRPr="00A2112A" w:rsidRDefault="00D15B95" w:rsidP="00D15B95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4D44B1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58B" w:rsidRDefault="00CE3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F30" w:rsidRDefault="00C75F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4D44B1" w:rsidTr="00E1724F">
        <w:tc>
          <w:tcPr>
            <w:tcW w:w="2978" w:type="dxa"/>
          </w:tcPr>
          <w:p w:rsidR="004D44B1" w:rsidRPr="00C75F30" w:rsidRDefault="004D4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</w:tcPr>
          <w:p w:rsidR="004D44B1" w:rsidRPr="00A2112A" w:rsidRDefault="00201A37" w:rsidP="00D15B95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A2112A">
              <w:rPr>
                <w:rFonts w:ascii="Arial" w:hAnsi="Arial" w:cs="Arial"/>
                <w:sz w:val="24"/>
                <w:szCs w:val="24"/>
              </w:rPr>
              <w:t>has identified a Prevent Lead.</w:t>
            </w:r>
          </w:p>
        </w:tc>
        <w:tc>
          <w:tcPr>
            <w:tcW w:w="5629" w:type="dxa"/>
          </w:tcPr>
          <w:p w:rsidR="004D44B1" w:rsidRPr="00A2112A" w:rsidRDefault="00201A37" w:rsidP="00D15B9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Pr="00A2112A">
              <w:rPr>
                <w:rFonts w:ascii="Arial" w:hAnsi="Arial" w:cs="Arial"/>
                <w:sz w:val="24"/>
                <w:szCs w:val="24"/>
              </w:rPr>
              <w:t>know</w:t>
            </w:r>
            <w:proofErr w:type="gramEnd"/>
            <w:r w:rsidRPr="00A2112A">
              <w:rPr>
                <w:rFonts w:ascii="Arial" w:hAnsi="Arial" w:cs="Arial"/>
                <w:sz w:val="24"/>
                <w:szCs w:val="24"/>
              </w:rPr>
              <w:t xml:space="preserve"> who the Prevent Lead is and that this person acts as a source of advice and support.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  The Prevent Lead is </w:t>
            </w:r>
            <w:proofErr w:type="gramStart"/>
            <w:r w:rsidR="00D15B95" w:rsidRPr="00A2112A">
              <w:rPr>
                <w:rFonts w:ascii="Arial" w:hAnsi="Arial" w:cs="Arial"/>
                <w:sz w:val="24"/>
                <w:szCs w:val="24"/>
              </w:rPr>
              <w:t>WRAP</w:t>
            </w:r>
            <w:proofErr w:type="gramEnd"/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 trained.  </w:t>
            </w:r>
            <w:proofErr w:type="gramStart"/>
            <w:r w:rsidR="00D15B95" w:rsidRPr="00E1724F">
              <w:rPr>
                <w:rFonts w:ascii="Arial" w:hAnsi="Arial" w:cs="Arial"/>
                <w:sz w:val="24"/>
                <w:szCs w:val="24"/>
              </w:rPr>
              <w:t>Staff are</w:t>
            </w:r>
            <w:proofErr w:type="gramEnd"/>
            <w:r w:rsidR="00D15B95" w:rsidRPr="00E1724F">
              <w:rPr>
                <w:rFonts w:ascii="Arial" w:hAnsi="Arial" w:cs="Arial"/>
                <w:sz w:val="24"/>
                <w:szCs w:val="24"/>
              </w:rPr>
              <w:t xml:space="preserve"> also aware that they can discuss concerns with the Designated Safeguarding team.</w:t>
            </w:r>
          </w:p>
        </w:tc>
        <w:tc>
          <w:tcPr>
            <w:tcW w:w="2071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B85AEE" w:rsidTr="00E1724F">
        <w:tc>
          <w:tcPr>
            <w:tcW w:w="2978" w:type="dxa"/>
          </w:tcPr>
          <w:p w:rsidR="00B85AEE" w:rsidRPr="00C75F30" w:rsidRDefault="00B85AEE" w:rsidP="00D15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Prohibit extremist speakers and events in the </w:t>
            </w:r>
            <w:commentRangeStart w:id="3"/>
            <w:r w:rsidR="00D15B95">
              <w:rPr>
                <w:rFonts w:ascii="Arial" w:hAnsi="Arial" w:cs="Arial"/>
                <w:sz w:val="24"/>
                <w:szCs w:val="24"/>
              </w:rPr>
              <w:t>college</w:t>
            </w:r>
            <w:commentRangeEnd w:id="3"/>
            <w:r w:rsidR="0032271C">
              <w:rPr>
                <w:rStyle w:val="CommentReference"/>
              </w:rPr>
              <w:commentReference w:id="3"/>
            </w:r>
          </w:p>
        </w:tc>
        <w:tc>
          <w:tcPr>
            <w:tcW w:w="4207" w:type="dxa"/>
          </w:tcPr>
          <w:p w:rsidR="00B85AEE" w:rsidRPr="00A2112A" w:rsidRDefault="00B85AEE" w:rsidP="00D15B95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exercises “due diligence” in relation to requests from external speakers and organisations using 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A2112A">
              <w:rPr>
                <w:rFonts w:ascii="Arial" w:hAnsi="Arial" w:cs="Arial"/>
                <w:sz w:val="24"/>
                <w:szCs w:val="24"/>
              </w:rPr>
              <w:t>premises.</w:t>
            </w:r>
          </w:p>
        </w:tc>
        <w:tc>
          <w:tcPr>
            <w:tcW w:w="5629" w:type="dxa"/>
          </w:tcPr>
          <w:p w:rsidR="00B85AEE" w:rsidRPr="00A2112A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Request an outline of what the speaker intends to cover</w:t>
            </w:r>
          </w:p>
          <w:p w:rsidR="00B85AEE" w:rsidRPr="00A2112A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Research the person/organisation to establish whether they have demonstrated extreme views/actions.</w:t>
            </w:r>
          </w:p>
          <w:p w:rsidR="00B85AEE" w:rsidRPr="00A2112A" w:rsidRDefault="00B85AEE" w:rsidP="00C31174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Deny permission for people/organisations to use 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A2112A">
              <w:rPr>
                <w:rFonts w:ascii="Arial" w:hAnsi="Arial" w:cs="Arial"/>
                <w:sz w:val="24"/>
                <w:szCs w:val="24"/>
              </w:rPr>
              <w:t>premises if they have links to extreme groups or movements.</w:t>
            </w:r>
          </w:p>
          <w:p w:rsidR="00D15B95" w:rsidRPr="00A2112A" w:rsidRDefault="00B85AEE" w:rsidP="00D15B9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Provide justification for their decisions in writing.</w:t>
            </w:r>
          </w:p>
          <w:p w:rsidR="00D15B95" w:rsidRPr="00E1724F" w:rsidRDefault="00D15B95" w:rsidP="00D15B9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>Ensure that all visitors are accompanied at all times and wear a Visitor’s lanyard.</w:t>
            </w:r>
          </w:p>
          <w:p w:rsidR="00D15B95" w:rsidRPr="00A2112A" w:rsidRDefault="00D15B95" w:rsidP="00D15B95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B85AEE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C31174" w:rsidTr="00E1724F">
        <w:tc>
          <w:tcPr>
            <w:tcW w:w="14885" w:type="dxa"/>
            <w:gridSpan w:val="4"/>
          </w:tcPr>
          <w:p w:rsidR="00B85AEE" w:rsidRPr="00A2112A" w:rsidRDefault="00B85A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8A6" w:rsidRPr="00A2112A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174" w:rsidRPr="00A2112A" w:rsidRDefault="00C311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12A">
              <w:rPr>
                <w:rFonts w:ascii="Arial" w:hAnsi="Arial" w:cs="Arial"/>
                <w:b/>
                <w:sz w:val="24"/>
                <w:szCs w:val="24"/>
              </w:rPr>
              <w:t>Working in Partnership</w:t>
            </w:r>
          </w:p>
          <w:p w:rsidR="00C31174" w:rsidRPr="00A2112A" w:rsidRDefault="00C3117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E1724F">
        <w:tc>
          <w:tcPr>
            <w:tcW w:w="2978" w:type="dxa"/>
          </w:tcPr>
          <w:p w:rsidR="00201A37" w:rsidRPr="00201A37" w:rsidRDefault="00813033" w:rsidP="00D15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15B95"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>
              <w:rPr>
                <w:rFonts w:ascii="Arial" w:hAnsi="Arial" w:cs="Arial"/>
                <w:sz w:val="24"/>
                <w:szCs w:val="24"/>
              </w:rPr>
              <w:t xml:space="preserve">uses existing safeguarding </w:t>
            </w:r>
            <w:r w:rsidR="00201A37">
              <w:rPr>
                <w:rFonts w:ascii="Arial" w:hAnsi="Arial" w:cs="Arial"/>
                <w:sz w:val="24"/>
                <w:szCs w:val="24"/>
              </w:rPr>
              <w:t>arrangements in exercising its Prevent duty.</w:t>
            </w:r>
          </w:p>
        </w:tc>
        <w:tc>
          <w:tcPr>
            <w:tcW w:w="4207" w:type="dxa"/>
          </w:tcPr>
          <w:p w:rsidR="004D44B1" w:rsidRPr="00201A37" w:rsidRDefault="00201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record and report concerns in line with existing policies and procedures.</w:t>
            </w:r>
          </w:p>
        </w:tc>
        <w:tc>
          <w:tcPr>
            <w:tcW w:w="5629" w:type="dxa"/>
          </w:tcPr>
          <w:p w:rsidR="004D44B1" w:rsidRPr="00A2112A" w:rsidRDefault="00201A37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All s</w:t>
            </w:r>
            <w:r w:rsidR="00CE358B" w:rsidRPr="00A2112A">
              <w:rPr>
                <w:rFonts w:ascii="Arial" w:hAnsi="Arial" w:cs="Arial"/>
                <w:sz w:val="24"/>
                <w:szCs w:val="24"/>
              </w:rPr>
              <w:t>taff record and report concerns on the usual “Logging Concerns Form”.</w:t>
            </w:r>
          </w:p>
          <w:p w:rsidR="00D15B95" w:rsidRPr="00A2112A" w:rsidRDefault="00813033" w:rsidP="00E1724F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A2112A">
              <w:rPr>
                <w:rFonts w:ascii="Arial" w:hAnsi="Arial" w:cs="Arial"/>
                <w:sz w:val="24"/>
                <w:szCs w:val="24"/>
              </w:rPr>
              <w:t>Records of referra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ls are kept in the Welfare File and in a protected area on Pro-</w:t>
            </w:r>
            <w:commentRangeStart w:id="4"/>
            <w:r w:rsidR="00792294" w:rsidRPr="00E1724F">
              <w:rPr>
                <w:rFonts w:ascii="Arial" w:hAnsi="Arial" w:cs="Arial"/>
                <w:sz w:val="24"/>
                <w:szCs w:val="24"/>
              </w:rPr>
              <w:t>monitor</w:t>
            </w:r>
            <w:commentRangeEnd w:id="4"/>
            <w:r w:rsidR="00732C2C" w:rsidRPr="00A2112A">
              <w:rPr>
                <w:rStyle w:val="CommentReference"/>
              </w:rPr>
              <w:commentReference w:id="4"/>
            </w:r>
            <w:r w:rsidR="00792294" w:rsidRPr="00E172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4D44B1" w:rsidTr="00E1724F">
        <w:tc>
          <w:tcPr>
            <w:tcW w:w="2978" w:type="dxa"/>
          </w:tcPr>
          <w:p w:rsidR="004D44B1" w:rsidRPr="00813033" w:rsidRDefault="00813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Referrals are made to relevant agencies where a Prevent concern is identified.</w:t>
            </w:r>
          </w:p>
        </w:tc>
        <w:tc>
          <w:tcPr>
            <w:tcW w:w="4207" w:type="dxa"/>
          </w:tcPr>
          <w:p w:rsidR="004D44B1" w:rsidRPr="00A2112A" w:rsidRDefault="00201A37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The Prevent Lead makes appropriate referrals to other agencies including th</w:t>
            </w:r>
            <w:r w:rsidR="00745D59" w:rsidRPr="00A2112A">
              <w:rPr>
                <w:rFonts w:ascii="Arial" w:hAnsi="Arial" w:cs="Arial"/>
                <w:sz w:val="24"/>
                <w:szCs w:val="24"/>
              </w:rPr>
              <w:t xml:space="preserve">e Multi-Agency Safeguarding Hub </w:t>
            </w:r>
            <w:r w:rsidR="00CE358B" w:rsidRPr="00A2112A">
              <w:rPr>
                <w:rFonts w:ascii="Arial" w:hAnsi="Arial" w:cs="Arial"/>
                <w:sz w:val="24"/>
                <w:szCs w:val="24"/>
              </w:rPr>
              <w:t>(MASH)</w:t>
            </w:r>
            <w:r w:rsidR="00745D59" w:rsidRPr="00A2112A">
              <w:rPr>
                <w:rFonts w:ascii="Arial" w:hAnsi="Arial" w:cs="Arial"/>
                <w:sz w:val="24"/>
                <w:szCs w:val="24"/>
              </w:rPr>
              <w:t xml:space="preserve"> and Channel Panel.</w:t>
            </w:r>
          </w:p>
          <w:p w:rsidR="00090C92" w:rsidRPr="00A2112A" w:rsidRDefault="00090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</w:tcPr>
          <w:p w:rsidR="00371528" w:rsidRPr="00A2112A" w:rsidRDefault="00371528" w:rsidP="00C3117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Preven</w:t>
            </w:r>
            <w:r w:rsidR="00D8075D" w:rsidRPr="00A2112A">
              <w:rPr>
                <w:rFonts w:ascii="Arial" w:hAnsi="Arial" w:cs="Arial"/>
                <w:sz w:val="24"/>
                <w:szCs w:val="24"/>
              </w:rPr>
              <w:t>t referrals are made to the Customer Service Centre</w:t>
            </w:r>
            <w:r w:rsidRPr="00A2112A">
              <w:rPr>
                <w:rFonts w:ascii="Arial" w:hAnsi="Arial" w:cs="Arial"/>
                <w:sz w:val="24"/>
                <w:szCs w:val="24"/>
              </w:rPr>
              <w:t>. Tel. 0345 0</w:t>
            </w:r>
            <w:r w:rsidR="00D8075D" w:rsidRPr="00A2112A">
              <w:rPr>
                <w:rFonts w:ascii="Arial" w:hAnsi="Arial" w:cs="Arial"/>
                <w:sz w:val="24"/>
                <w:szCs w:val="24"/>
              </w:rPr>
              <w:t>45 5203</w:t>
            </w:r>
            <w:r w:rsidRPr="00A2112A">
              <w:rPr>
                <w:rFonts w:ascii="Arial" w:hAnsi="Arial" w:cs="Arial"/>
                <w:sz w:val="24"/>
                <w:szCs w:val="24"/>
              </w:rPr>
              <w:t>.</w:t>
            </w:r>
            <w:r w:rsidR="00837A64">
              <w:rPr>
                <w:rFonts w:ascii="Arial" w:hAnsi="Arial" w:cs="Arial"/>
                <w:sz w:val="24"/>
                <w:szCs w:val="24"/>
              </w:rPr>
              <w:t xml:space="preserve"> Staff and students are made aware that they can make a direct contact if they have concerns.</w:t>
            </w:r>
          </w:p>
          <w:p w:rsidR="00813033" w:rsidRPr="00A2112A" w:rsidRDefault="00813033" w:rsidP="008130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Advice may be sought regarding Prevent concerns by calling Cambridgeshire Police on </w:t>
            </w:r>
            <w:r w:rsidR="00BD0E91" w:rsidRPr="00A2112A">
              <w:rPr>
                <w:rFonts w:ascii="Arial" w:hAnsi="Arial" w:cs="Arial"/>
                <w:sz w:val="24"/>
                <w:szCs w:val="24"/>
              </w:rPr>
              <w:t>101 and selecting extension 2596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or 2595 or by email </w:t>
            </w:r>
            <w:hyperlink r:id="rId11" w:history="1">
              <w:r w:rsidRPr="00A2112A">
                <w:rPr>
                  <w:rStyle w:val="Hyperlink"/>
                  <w:rFonts w:ascii="Arial" w:hAnsi="Arial" w:cs="Arial"/>
                  <w:sz w:val="24"/>
                  <w:szCs w:val="24"/>
                </w:rPr>
                <w:t>Prevent@cambs.pnn.police.uk</w:t>
              </w:r>
            </w:hyperlink>
          </w:p>
          <w:p w:rsidR="00371528" w:rsidRPr="00A2112A" w:rsidRDefault="00371528" w:rsidP="00813033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Referrals should be made using the LS</w:t>
            </w:r>
            <w:r w:rsidR="00813033" w:rsidRPr="00A2112A">
              <w:rPr>
                <w:rFonts w:ascii="Arial" w:hAnsi="Arial" w:cs="Arial"/>
                <w:sz w:val="24"/>
                <w:szCs w:val="24"/>
              </w:rPr>
              <w:t xml:space="preserve">CB Referral Form and </w:t>
            </w:r>
            <w:r w:rsidRPr="00A2112A">
              <w:rPr>
                <w:rFonts w:ascii="Arial" w:hAnsi="Arial" w:cs="Arial"/>
                <w:sz w:val="24"/>
                <w:szCs w:val="24"/>
              </w:rPr>
              <w:t>the Exploitation Checklist</w:t>
            </w:r>
            <w:r w:rsidR="00813033" w:rsidRPr="00A2112A">
              <w:rPr>
                <w:rFonts w:ascii="Arial" w:hAnsi="Arial" w:cs="Arial"/>
                <w:sz w:val="24"/>
                <w:szCs w:val="24"/>
              </w:rPr>
              <w:t xml:space="preserve"> should be completed</w:t>
            </w:r>
            <w:r w:rsidRPr="00A211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A64" w:rsidRPr="00A2112A" w:rsidRDefault="00371528" w:rsidP="00371528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The Prevent lead supports the Channel pro</w:t>
            </w:r>
            <w:r w:rsidR="00813033" w:rsidRPr="00A2112A">
              <w:rPr>
                <w:rFonts w:ascii="Arial" w:hAnsi="Arial" w:cs="Arial"/>
                <w:sz w:val="24"/>
                <w:szCs w:val="24"/>
              </w:rPr>
              <w:t xml:space="preserve">cess by </w:t>
            </w:r>
            <w:r w:rsidRPr="00A2112A">
              <w:rPr>
                <w:rFonts w:ascii="Arial" w:hAnsi="Arial" w:cs="Arial"/>
                <w:sz w:val="24"/>
                <w:szCs w:val="24"/>
              </w:rPr>
              <w:t>sharing</w:t>
            </w:r>
            <w:r w:rsidR="00813033" w:rsidRPr="00A2112A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and carrying out agreed actions.</w:t>
            </w:r>
          </w:p>
          <w:p w:rsidR="00D15B95" w:rsidRPr="00D45647" w:rsidRDefault="00D15B95" w:rsidP="00D45647">
            <w:pPr>
              <w:pStyle w:val="ListParagraph"/>
              <w:ind w:left="317"/>
            </w:pPr>
          </w:p>
        </w:tc>
        <w:tc>
          <w:tcPr>
            <w:tcW w:w="2071" w:type="dxa"/>
          </w:tcPr>
          <w:p w:rsidR="004D44B1" w:rsidRDefault="00201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  <w:p w:rsidR="00837A64" w:rsidRDefault="00837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A64" w:rsidRDefault="00837A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C92" w:rsidTr="00E1724F">
        <w:tc>
          <w:tcPr>
            <w:tcW w:w="14885" w:type="dxa"/>
            <w:gridSpan w:val="4"/>
          </w:tcPr>
          <w:p w:rsidR="00090C92" w:rsidRPr="00A2112A" w:rsidRDefault="00090C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0C92" w:rsidRPr="00A2112A" w:rsidRDefault="0009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12A">
              <w:rPr>
                <w:rFonts w:ascii="Arial" w:hAnsi="Arial" w:cs="Arial"/>
                <w:b/>
                <w:sz w:val="24"/>
                <w:szCs w:val="24"/>
              </w:rPr>
              <w:t>Staff training</w:t>
            </w:r>
          </w:p>
          <w:p w:rsidR="00090C92" w:rsidRPr="00A2112A" w:rsidRDefault="00090C9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D44B1" w:rsidTr="00E1724F">
        <w:tc>
          <w:tcPr>
            <w:tcW w:w="2978" w:type="dxa"/>
          </w:tcPr>
          <w:p w:rsidR="00A2112A" w:rsidRDefault="00A2112A" w:rsidP="007922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014A" w:rsidRPr="008F014A" w:rsidRDefault="008F014A" w:rsidP="00792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 staff to identify </w:t>
            </w:r>
            <w:r w:rsidR="00792294">
              <w:rPr>
                <w:rFonts w:ascii="Arial" w:hAnsi="Arial" w:cs="Arial"/>
                <w:sz w:val="24"/>
                <w:szCs w:val="24"/>
              </w:rPr>
              <w:t>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at risk of being drawn into terrorism and to challenge extremist ideas.</w:t>
            </w:r>
          </w:p>
        </w:tc>
        <w:tc>
          <w:tcPr>
            <w:tcW w:w="4207" w:type="dxa"/>
          </w:tcPr>
          <w:p w:rsidR="00A2112A" w:rsidRDefault="00A2112A" w:rsidP="007922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4B1" w:rsidRPr="00A2112A" w:rsidRDefault="008F014A" w:rsidP="00792294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Assess the training needs of staff in the light of the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college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’s assessment of the risk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to students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at the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college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of being drawn into terrorism.</w:t>
            </w:r>
          </w:p>
        </w:tc>
        <w:tc>
          <w:tcPr>
            <w:tcW w:w="5629" w:type="dxa"/>
          </w:tcPr>
          <w:p w:rsidR="008F014A" w:rsidRPr="00A2112A" w:rsidRDefault="008F014A" w:rsidP="003715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Ensur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>e that the designated Safeguarding L</w:t>
            </w:r>
            <w:r w:rsidRPr="00A2112A">
              <w:rPr>
                <w:rFonts w:ascii="Arial" w:hAnsi="Arial" w:cs="Arial"/>
                <w:sz w:val="24"/>
                <w:szCs w:val="24"/>
              </w:rPr>
              <w:t>ea</w:t>
            </w:r>
            <w:r w:rsidR="00D15B95" w:rsidRPr="00A2112A">
              <w:rPr>
                <w:rFonts w:ascii="Arial" w:hAnsi="Arial" w:cs="Arial"/>
                <w:sz w:val="24"/>
                <w:szCs w:val="24"/>
              </w:rPr>
              <w:t>d undertakes (WRAP) Prevent Awareness t</w:t>
            </w:r>
            <w:r w:rsidRPr="00A2112A">
              <w:rPr>
                <w:rFonts w:ascii="Arial" w:hAnsi="Arial" w:cs="Arial"/>
                <w:sz w:val="24"/>
                <w:szCs w:val="24"/>
              </w:rPr>
              <w:t>raining.</w:t>
            </w:r>
          </w:p>
          <w:p w:rsidR="00903E10" w:rsidRPr="00A2112A" w:rsidRDefault="008F014A" w:rsidP="002069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Ensure that the designated safeguarding lead </w:t>
            </w:r>
            <w:r w:rsidR="0064401B" w:rsidRPr="00E1724F">
              <w:rPr>
                <w:rFonts w:ascii="Arial" w:hAnsi="Arial" w:cs="Arial"/>
                <w:sz w:val="24"/>
                <w:szCs w:val="24"/>
              </w:rPr>
              <w:t>and safeguarding team</w:t>
            </w:r>
            <w:r w:rsidR="0064401B" w:rsidRPr="00A2112A">
              <w:rPr>
                <w:rFonts w:ascii="Arial" w:hAnsi="Arial" w:cs="Arial"/>
                <w:sz w:val="24"/>
                <w:szCs w:val="24"/>
              </w:rPr>
              <w:t xml:space="preserve"> are able to provide advice, 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64401B" w:rsidRPr="00A2112A">
              <w:rPr>
                <w:rFonts w:ascii="Arial" w:hAnsi="Arial" w:cs="Arial"/>
                <w:sz w:val="24"/>
                <w:szCs w:val="24"/>
              </w:rPr>
              <w:t xml:space="preserve">and training 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to other members of staff on protecting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young people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from the risk of radicalisation.</w:t>
            </w:r>
          </w:p>
          <w:p w:rsidR="00371528" w:rsidRPr="008A0186" w:rsidRDefault="00D15B95" w:rsidP="002069F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All staff </w:t>
            </w:r>
            <w:proofErr w:type="gramStart"/>
            <w:r w:rsidR="0064401B" w:rsidRPr="00A2112A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="0064401B" w:rsidRPr="00A2112A">
              <w:rPr>
                <w:rFonts w:ascii="Arial" w:hAnsi="Arial" w:cs="Arial"/>
                <w:sz w:val="24"/>
                <w:szCs w:val="24"/>
              </w:rPr>
              <w:t xml:space="preserve"> required to </w:t>
            </w:r>
            <w:r w:rsidRPr="00A2112A">
              <w:rPr>
                <w:rFonts w:ascii="Arial" w:hAnsi="Arial" w:cs="Arial"/>
                <w:sz w:val="24"/>
                <w:szCs w:val="24"/>
              </w:rPr>
              <w:t>complete</w:t>
            </w:r>
            <w:r w:rsidR="00813033" w:rsidRPr="00A21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9F6" w:rsidRPr="00A2112A">
              <w:rPr>
                <w:rFonts w:ascii="Arial" w:hAnsi="Arial" w:cs="Arial"/>
                <w:sz w:val="24"/>
                <w:szCs w:val="24"/>
              </w:rPr>
              <w:t xml:space="preserve">the Home Office </w:t>
            </w:r>
            <w:r w:rsidRPr="00A2112A">
              <w:rPr>
                <w:rFonts w:ascii="Arial" w:hAnsi="Arial" w:cs="Arial"/>
                <w:sz w:val="24"/>
                <w:szCs w:val="24"/>
              </w:rPr>
              <w:t>on-line training.</w:t>
            </w:r>
            <w:r w:rsidR="002069F6" w:rsidRPr="00A2112A">
              <w:t xml:space="preserve"> </w:t>
            </w:r>
            <w:commentRangeStart w:id="5"/>
            <w:r w:rsidR="00732C2C" w:rsidRPr="00D45647">
              <w:fldChar w:fldCharType="begin"/>
            </w:r>
            <w:r w:rsidR="00732C2C" w:rsidRPr="00A2112A">
              <w:instrText xml:space="preserve"> HYPERLINK "http://www.elearning.prevent.homeoffice.gov.uk/" </w:instrText>
            </w:r>
            <w:r w:rsidR="00732C2C" w:rsidRPr="00E1724F">
              <w:fldChar w:fldCharType="separate"/>
            </w:r>
            <w:r w:rsidR="002069F6" w:rsidRPr="00A2112A">
              <w:rPr>
                <w:rStyle w:val="Hyperlink"/>
                <w:rFonts w:ascii="Arial" w:hAnsi="Arial" w:cs="Arial"/>
                <w:sz w:val="24"/>
                <w:szCs w:val="24"/>
              </w:rPr>
              <w:t>www.elearning.prevent.homeoffice.gov.uk/</w:t>
            </w:r>
            <w:r w:rsidR="00732C2C" w:rsidRPr="00D45647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commentRangeEnd w:id="5"/>
            <w:r w:rsidR="00732C2C" w:rsidRPr="00A2112A">
              <w:rPr>
                <w:rStyle w:val="CommentReference"/>
              </w:rPr>
              <w:commentReference w:id="5"/>
            </w:r>
          </w:p>
          <w:p w:rsidR="00A2112A" w:rsidRPr="00A2112A" w:rsidRDefault="00A2112A" w:rsidP="00E1724F">
            <w:pPr>
              <w:pStyle w:val="ListParagraph"/>
              <w:tabs>
                <w:tab w:val="left" w:pos="284"/>
                <w:tab w:val="left" w:pos="851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4D44B1" w:rsidRDefault="008F01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Designated Safeguarding Lead/Prevent Lead</w:t>
            </w: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01B" w:rsidRDefault="00644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Designated Safeguarding Team</w:t>
            </w: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903E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E10" w:rsidRDefault="00D15B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090C92" w:rsidTr="00E1724F">
        <w:tc>
          <w:tcPr>
            <w:tcW w:w="14885" w:type="dxa"/>
            <w:gridSpan w:val="4"/>
          </w:tcPr>
          <w:p w:rsidR="00090C92" w:rsidRPr="00A2112A" w:rsidRDefault="00090C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33" w:rsidRPr="00A2112A" w:rsidRDefault="00813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C92" w:rsidRPr="00A2112A" w:rsidRDefault="0009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724F">
              <w:rPr>
                <w:rFonts w:ascii="Arial" w:hAnsi="Arial" w:cs="Arial"/>
                <w:b/>
                <w:sz w:val="24"/>
                <w:szCs w:val="24"/>
              </w:rPr>
              <w:t xml:space="preserve">IT </w:t>
            </w:r>
            <w:r w:rsidR="002539EB" w:rsidRPr="00E1724F">
              <w:rPr>
                <w:rFonts w:ascii="Arial" w:hAnsi="Arial" w:cs="Arial"/>
                <w:b/>
                <w:sz w:val="24"/>
                <w:szCs w:val="24"/>
              </w:rPr>
              <w:t>and Internet Use</w:t>
            </w:r>
          </w:p>
          <w:p w:rsidR="00090C92" w:rsidRPr="00A2112A" w:rsidRDefault="00090C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4B1" w:rsidTr="00E1724F">
        <w:tc>
          <w:tcPr>
            <w:tcW w:w="2978" w:type="dxa"/>
          </w:tcPr>
          <w:p w:rsidR="009205F6" w:rsidRDefault="009205F6" w:rsidP="00792294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4B1" w:rsidRPr="008F014A" w:rsidRDefault="008F014A" w:rsidP="00792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</w:t>
            </w:r>
            <w:r w:rsidR="00792294">
              <w:rPr>
                <w:rFonts w:ascii="Arial" w:hAnsi="Arial" w:cs="Arial"/>
                <w:sz w:val="24"/>
                <w:szCs w:val="24"/>
              </w:rPr>
              <w:t>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safe from terrorist and extremist material when accessing the internet in </w:t>
            </w:r>
            <w:r w:rsidR="00792294">
              <w:rPr>
                <w:rFonts w:ascii="Arial" w:hAnsi="Arial" w:cs="Arial"/>
                <w:sz w:val="24"/>
                <w:szCs w:val="24"/>
              </w:rPr>
              <w:t>college.</w:t>
            </w:r>
          </w:p>
        </w:tc>
        <w:tc>
          <w:tcPr>
            <w:tcW w:w="4207" w:type="dxa"/>
          </w:tcPr>
          <w:p w:rsidR="009205F6" w:rsidRDefault="009205F6" w:rsidP="00644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4B1" w:rsidRPr="00A2112A" w:rsidRDefault="008F014A" w:rsidP="0064401B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college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has</w:t>
            </w:r>
            <w:r w:rsidR="00EA1EDE" w:rsidRPr="00A2112A">
              <w:rPr>
                <w:rFonts w:ascii="Arial" w:hAnsi="Arial" w:cs="Arial"/>
                <w:sz w:val="24"/>
                <w:szCs w:val="24"/>
              </w:rPr>
              <w:t xml:space="preserve"> policies in place </w:t>
            </w:r>
            <w:r w:rsidR="00EA1EDE" w:rsidRPr="00E1724F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64401B" w:rsidRPr="00E1724F">
              <w:rPr>
                <w:rFonts w:ascii="Arial" w:hAnsi="Arial" w:cs="Arial"/>
                <w:sz w:val="24"/>
                <w:szCs w:val="24"/>
              </w:rPr>
              <w:t>support</w:t>
            </w:r>
            <w:r w:rsidR="0064401B" w:rsidRPr="00A21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EDE" w:rsidRPr="00A2112A">
              <w:rPr>
                <w:rFonts w:ascii="Arial" w:hAnsi="Arial" w:cs="Arial"/>
                <w:sz w:val="24"/>
                <w:szCs w:val="24"/>
              </w:rPr>
              <w:t>the “Prevent” duty.</w:t>
            </w:r>
          </w:p>
        </w:tc>
        <w:tc>
          <w:tcPr>
            <w:tcW w:w="5629" w:type="dxa"/>
          </w:tcPr>
          <w:p w:rsidR="009205F6" w:rsidRDefault="009205F6" w:rsidP="00644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033" w:rsidRPr="00A2112A" w:rsidRDefault="00813033" w:rsidP="0064401B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Relevant policies in place and embedded:</w:t>
            </w:r>
          </w:p>
          <w:p w:rsidR="004D44B1" w:rsidRPr="00A2112A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E safety policy</w:t>
            </w:r>
          </w:p>
          <w:p w:rsidR="00EA1EDE" w:rsidRPr="00A2112A" w:rsidRDefault="00EA1EDE" w:rsidP="00C31174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Acceptable use policy</w:t>
            </w:r>
          </w:p>
          <w:p w:rsidR="002539EB" w:rsidRPr="00A2112A" w:rsidRDefault="002539EB" w:rsidP="002539E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Anti-bullying policy</w:t>
            </w:r>
          </w:p>
        </w:tc>
        <w:tc>
          <w:tcPr>
            <w:tcW w:w="2071" w:type="dxa"/>
          </w:tcPr>
          <w:p w:rsidR="004D44B1" w:rsidRDefault="00EA1E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4D44B1" w:rsidTr="00E1724F">
        <w:tc>
          <w:tcPr>
            <w:tcW w:w="2978" w:type="dxa"/>
          </w:tcPr>
          <w:p w:rsidR="004D44B1" w:rsidRDefault="004D4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9205F6" w:rsidRDefault="009205F6" w:rsidP="00644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4B1" w:rsidRDefault="0064401B" w:rsidP="0064401B">
            <w:pPr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Students are alerted to </w:t>
            </w:r>
            <w:r w:rsidR="002539EB" w:rsidRPr="00E1724F">
              <w:rPr>
                <w:rFonts w:ascii="Arial" w:hAnsi="Arial" w:cs="Arial"/>
                <w:sz w:val="24"/>
                <w:szCs w:val="24"/>
              </w:rPr>
              <w:t xml:space="preserve">issues of </w:t>
            </w:r>
            <w:r w:rsidR="00EA1EDE" w:rsidRPr="00E1724F">
              <w:rPr>
                <w:rFonts w:ascii="Arial" w:hAnsi="Arial" w:cs="Arial"/>
                <w:sz w:val="24"/>
                <w:szCs w:val="24"/>
              </w:rPr>
              <w:t>on-line safety with specific reference to the risk of radicalisation.</w:t>
            </w:r>
          </w:p>
          <w:p w:rsidR="009205F6" w:rsidRPr="00E1724F" w:rsidRDefault="009205F6" w:rsidP="00644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</w:tcPr>
          <w:p w:rsidR="004D44B1" w:rsidRPr="00E1724F" w:rsidRDefault="0064401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In Induction and through </w:t>
            </w:r>
            <w:r w:rsidR="00732C2C" w:rsidRPr="00E172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24F">
              <w:rPr>
                <w:rFonts w:ascii="Arial" w:hAnsi="Arial" w:cs="Arial"/>
                <w:sz w:val="24"/>
                <w:szCs w:val="24"/>
              </w:rPr>
              <w:t xml:space="preserve">resources </w:t>
            </w:r>
          </w:p>
          <w:p w:rsidR="0064401B" w:rsidRPr="00E1724F" w:rsidRDefault="0064401B" w:rsidP="0064401B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>Opportunities taken to highlight issues in the curriculum</w:t>
            </w:r>
          </w:p>
          <w:p w:rsidR="002539EB" w:rsidRPr="00E1724F" w:rsidRDefault="002539EB" w:rsidP="002539EB">
            <w:pPr>
              <w:pStyle w:val="ListParagraph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D44B1" w:rsidRDefault="00644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Staff</w:t>
            </w:r>
          </w:p>
        </w:tc>
      </w:tr>
      <w:tr w:rsidR="0064401B" w:rsidTr="00E1724F">
        <w:tc>
          <w:tcPr>
            <w:tcW w:w="2978" w:type="dxa"/>
          </w:tcPr>
          <w:p w:rsidR="0064401B" w:rsidRDefault="006440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9205F6" w:rsidRDefault="009205F6" w:rsidP="002539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4401B" w:rsidRDefault="0064401B" w:rsidP="002539EB">
            <w:pPr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The college monitors use of IT and Internet </w:t>
            </w:r>
            <w:r w:rsidR="002539EB" w:rsidRPr="00E1724F">
              <w:rPr>
                <w:rFonts w:ascii="Arial" w:hAnsi="Arial" w:cs="Arial"/>
                <w:sz w:val="24"/>
                <w:szCs w:val="24"/>
              </w:rPr>
              <w:t>and IT staff report any concerns or evidence of extremist views or risk of radicalisation to Prevent Lead.</w:t>
            </w:r>
          </w:p>
          <w:p w:rsidR="009205F6" w:rsidRPr="00E1724F" w:rsidRDefault="009205F6" w:rsidP="0025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</w:tcPr>
          <w:p w:rsidR="0064401B" w:rsidRPr="00E1724F" w:rsidRDefault="002539EB" w:rsidP="002539EB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>Software is used to monitor attempted access to banned sites.</w:t>
            </w:r>
          </w:p>
          <w:p w:rsidR="002539EB" w:rsidRPr="00E1724F" w:rsidRDefault="002539EB" w:rsidP="002539EB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Software detects inappropriate words and phrases </w:t>
            </w:r>
          </w:p>
          <w:p w:rsidR="002539EB" w:rsidRPr="00E1724F" w:rsidRDefault="002539EB" w:rsidP="002539E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64401B" w:rsidRDefault="002539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Staff</w:t>
            </w:r>
          </w:p>
          <w:p w:rsidR="002539EB" w:rsidRDefault="002539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Prevent Lead</w:t>
            </w:r>
          </w:p>
        </w:tc>
      </w:tr>
      <w:tr w:rsidR="003E38A6" w:rsidTr="00E1724F">
        <w:tc>
          <w:tcPr>
            <w:tcW w:w="14885" w:type="dxa"/>
            <w:gridSpan w:val="4"/>
          </w:tcPr>
          <w:p w:rsidR="003E38A6" w:rsidRPr="00A2112A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38A6" w:rsidRPr="00A2112A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12A">
              <w:rPr>
                <w:rFonts w:ascii="Arial" w:hAnsi="Arial" w:cs="Arial"/>
                <w:b/>
                <w:sz w:val="24"/>
                <w:szCs w:val="24"/>
              </w:rPr>
              <w:t>Building</w:t>
            </w:r>
            <w:r w:rsidR="002539EB" w:rsidRPr="00A2112A">
              <w:rPr>
                <w:rFonts w:ascii="Arial" w:hAnsi="Arial" w:cs="Arial"/>
                <w:b/>
                <w:sz w:val="24"/>
                <w:szCs w:val="24"/>
              </w:rPr>
              <w:t xml:space="preserve"> student</w:t>
            </w:r>
            <w:r w:rsidRPr="00A2112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205F6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A2112A">
              <w:rPr>
                <w:rFonts w:ascii="Arial" w:hAnsi="Arial" w:cs="Arial"/>
                <w:b/>
                <w:sz w:val="24"/>
                <w:szCs w:val="24"/>
              </w:rPr>
              <w:t xml:space="preserve"> resilience to radicalisation</w:t>
            </w:r>
          </w:p>
          <w:p w:rsidR="003E38A6" w:rsidRPr="00A2112A" w:rsidRDefault="003E3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E10" w:rsidTr="00E1724F">
        <w:tc>
          <w:tcPr>
            <w:tcW w:w="2978" w:type="dxa"/>
          </w:tcPr>
          <w:p w:rsidR="00903E10" w:rsidRPr="00903E10" w:rsidRDefault="00903E10" w:rsidP="00792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</w:t>
            </w:r>
            <w:r w:rsidR="00792294">
              <w:rPr>
                <w:rFonts w:ascii="Arial" w:hAnsi="Arial" w:cs="Arial"/>
                <w:sz w:val="24"/>
                <w:szCs w:val="24"/>
              </w:rPr>
              <w:t>students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 “safe environment” in which to discuss “controversial issues”.</w:t>
            </w:r>
          </w:p>
        </w:tc>
        <w:tc>
          <w:tcPr>
            <w:tcW w:w="4207" w:type="dxa"/>
          </w:tcPr>
          <w:p w:rsidR="00903E10" w:rsidRPr="00A2112A" w:rsidRDefault="00792294" w:rsidP="006F465B">
            <w:pPr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Students</w:t>
            </w:r>
            <w:r w:rsidR="006F465B" w:rsidRPr="00A2112A">
              <w:rPr>
                <w:rFonts w:ascii="Arial" w:hAnsi="Arial" w:cs="Arial"/>
                <w:sz w:val="24"/>
                <w:szCs w:val="24"/>
              </w:rPr>
              <w:t xml:space="preserve"> develop “the knowledge, skills and understanding to prepare them to play a full and active part in society”.</w:t>
            </w:r>
          </w:p>
        </w:tc>
        <w:tc>
          <w:tcPr>
            <w:tcW w:w="5629" w:type="dxa"/>
          </w:tcPr>
          <w:p w:rsidR="00903E10" w:rsidRPr="00A2112A" w:rsidRDefault="006F465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>relevant subjects, taught tutorials</w:t>
            </w:r>
            <w:r w:rsidRPr="00E1724F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792294" w:rsidRPr="00E1724F">
              <w:rPr>
                <w:rFonts w:ascii="Arial" w:hAnsi="Arial" w:cs="Arial"/>
                <w:sz w:val="24"/>
                <w:szCs w:val="24"/>
              </w:rPr>
              <w:t>d other activities,</w:t>
            </w:r>
            <w:r w:rsidR="00792294" w:rsidRPr="00A2112A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A2112A">
              <w:rPr>
                <w:rFonts w:ascii="Arial" w:hAnsi="Arial" w:cs="Arial"/>
                <w:sz w:val="24"/>
                <w:szCs w:val="24"/>
              </w:rPr>
              <w:t xml:space="preserve"> are able to explore political, religious and social issues.</w:t>
            </w:r>
          </w:p>
          <w:p w:rsidR="006F465B" w:rsidRPr="00E1724F" w:rsidRDefault="002539EB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 xml:space="preserve">Opportunities are taken in the curriculum and in other college activities </w:t>
            </w:r>
            <w:r w:rsidR="00E4667C" w:rsidRPr="00E1724F">
              <w:rPr>
                <w:rFonts w:ascii="Arial" w:hAnsi="Arial" w:cs="Arial"/>
                <w:sz w:val="24"/>
                <w:szCs w:val="24"/>
              </w:rPr>
              <w:t xml:space="preserve">to promote shared values, the </w:t>
            </w:r>
            <w:r w:rsidR="006F465B" w:rsidRPr="00E1724F">
              <w:rPr>
                <w:rFonts w:ascii="Arial" w:hAnsi="Arial" w:cs="Arial"/>
                <w:sz w:val="24"/>
                <w:szCs w:val="24"/>
              </w:rPr>
              <w:t>diverse national, regional and ethnic identities in the UK and the need for mutual respect.</w:t>
            </w:r>
          </w:p>
          <w:p w:rsidR="0084269F" w:rsidRPr="00E1724F" w:rsidRDefault="00E4667C" w:rsidP="00C3117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1724F">
              <w:rPr>
                <w:rFonts w:ascii="Arial" w:hAnsi="Arial" w:cs="Arial"/>
                <w:sz w:val="24"/>
                <w:szCs w:val="24"/>
              </w:rPr>
              <w:t>Moodle resources include the</w:t>
            </w:r>
            <w:r w:rsidR="0084269F" w:rsidRPr="00E1724F">
              <w:rPr>
                <w:rFonts w:ascii="Arial" w:hAnsi="Arial" w:cs="Arial"/>
                <w:sz w:val="24"/>
                <w:szCs w:val="24"/>
              </w:rPr>
              <w:t xml:space="preserve"> “Let’s Talk </w:t>
            </w:r>
            <w:proofErr w:type="gramStart"/>
            <w:r w:rsidR="0084269F" w:rsidRPr="00E1724F">
              <w:rPr>
                <w:rFonts w:ascii="Arial" w:hAnsi="Arial" w:cs="Arial"/>
                <w:sz w:val="24"/>
                <w:szCs w:val="24"/>
              </w:rPr>
              <w:t>About</w:t>
            </w:r>
            <w:proofErr w:type="gramEnd"/>
            <w:r w:rsidR="0084269F" w:rsidRPr="00E1724F">
              <w:rPr>
                <w:rFonts w:ascii="Arial" w:hAnsi="Arial" w:cs="Arial"/>
                <w:sz w:val="24"/>
                <w:szCs w:val="24"/>
              </w:rPr>
              <w:t xml:space="preserve"> It” website. </w:t>
            </w:r>
            <w:hyperlink r:id="rId12" w:history="1">
              <w:r w:rsidR="0084269F" w:rsidRPr="00E1724F">
                <w:rPr>
                  <w:rStyle w:val="Hyperlink"/>
                  <w:rFonts w:ascii="Arial" w:hAnsi="Arial" w:cs="Arial"/>
                  <w:sz w:val="24"/>
                  <w:szCs w:val="24"/>
                </w:rPr>
                <w:t>www.ltai.info</w:t>
              </w:r>
            </w:hyperlink>
          </w:p>
          <w:p w:rsidR="006F465B" w:rsidRPr="00A2112A" w:rsidRDefault="006F465B" w:rsidP="0084269F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112A">
              <w:rPr>
                <w:rFonts w:ascii="Arial" w:hAnsi="Arial" w:cs="Arial"/>
                <w:sz w:val="24"/>
                <w:szCs w:val="24"/>
              </w:rPr>
              <w:t>Relevant staff are aware of the government guidance :</w:t>
            </w:r>
          </w:p>
          <w:p w:rsidR="006F465B" w:rsidRPr="00A2112A" w:rsidRDefault="00E2464B" w:rsidP="006F465B">
            <w:pPr>
              <w:pStyle w:val="ListParagraph"/>
              <w:ind w:left="317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3" w:history="1">
              <w:r w:rsidR="006F465B" w:rsidRPr="00A2112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https://www.gov.uk/government/news/guidance-on-promoting-british-values-in-schools-published/</w:t>
              </w:r>
            </w:hyperlink>
          </w:p>
          <w:p w:rsidR="0084269F" w:rsidRPr="00A2112A" w:rsidRDefault="0084269F" w:rsidP="006F465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6F465B" w:rsidRPr="00A2112A" w:rsidRDefault="006F465B" w:rsidP="006F465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903E10" w:rsidRDefault="007922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Teaching s</w:t>
            </w:r>
            <w:r w:rsidR="006F465B">
              <w:rPr>
                <w:rFonts w:ascii="Arial" w:hAnsi="Arial" w:cs="Arial"/>
                <w:b/>
                <w:sz w:val="24"/>
                <w:szCs w:val="24"/>
              </w:rPr>
              <w:t>taff</w:t>
            </w:r>
          </w:p>
          <w:p w:rsidR="00792294" w:rsidRDefault="00792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65B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65B" w:rsidRDefault="006F46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relevant staff</w:t>
            </w:r>
          </w:p>
        </w:tc>
      </w:tr>
    </w:tbl>
    <w:p w:rsidR="009205F6" w:rsidRDefault="009205F6">
      <w:pPr>
        <w:rPr>
          <w:rFonts w:ascii="Arial" w:hAnsi="Arial" w:cs="Arial"/>
          <w:b/>
          <w:sz w:val="24"/>
          <w:szCs w:val="24"/>
        </w:rPr>
      </w:pPr>
    </w:p>
    <w:p w:rsidR="00CE358B" w:rsidRDefault="00CE35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CE358B" w:rsidRDefault="00CE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“Keeping Children Safe in Education: Information for all school and college staff”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2646A">
        <w:rPr>
          <w:rFonts w:ascii="Arial" w:hAnsi="Arial" w:cs="Arial"/>
          <w:sz w:val="24"/>
          <w:szCs w:val="24"/>
        </w:rPr>
        <w:t>September 2018</w:t>
      </w:r>
    </w:p>
    <w:p w:rsidR="00CE358B" w:rsidRPr="00CE358B" w:rsidRDefault="00CE3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Prevent Duty: Departmental advice for schools and childcare providers”,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>, June 2015</w:t>
      </w:r>
    </w:p>
    <w:p w:rsidR="005B3032" w:rsidRDefault="005B3032">
      <w:pPr>
        <w:rPr>
          <w:rFonts w:ascii="Arial" w:hAnsi="Arial" w:cs="Arial"/>
          <w:sz w:val="24"/>
          <w:szCs w:val="24"/>
        </w:rPr>
      </w:pPr>
    </w:p>
    <w:sectPr w:rsidR="005B3032" w:rsidSect="003E6884">
      <w:footerReference w:type="default" r:id="rId14"/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cNabb, Niamh" w:date="2019-04-29T10:24:00Z" w:initials="NM">
    <w:p w:rsidR="0032271C" w:rsidRDefault="0032271C">
      <w:pPr>
        <w:pStyle w:val="CommentText"/>
      </w:pPr>
      <w:r>
        <w:rPr>
          <w:rStyle w:val="CommentReference"/>
        </w:rPr>
        <w:annotationRef/>
      </w:r>
      <w:r>
        <w:t>Is this tracked through Moodle or otherwise?</w:t>
      </w:r>
    </w:p>
  </w:comment>
  <w:comment w:id="2" w:author="McNabb, Niamh" w:date="2019-04-29T10:24:00Z" w:initials="NM">
    <w:p w:rsidR="0032271C" w:rsidRDefault="0032271C">
      <w:pPr>
        <w:pStyle w:val="CommentText"/>
      </w:pPr>
      <w:r>
        <w:rPr>
          <w:rStyle w:val="CommentReference"/>
        </w:rPr>
        <w:annotationRef/>
      </w:r>
      <w:r>
        <w:t>Again, do we have to evidence this?</w:t>
      </w:r>
    </w:p>
  </w:comment>
  <w:comment w:id="3" w:author="McNabb, Niamh" w:date="2019-04-29T10:26:00Z" w:initials="NM">
    <w:p w:rsidR="0032271C" w:rsidRDefault="0032271C">
      <w:pPr>
        <w:pStyle w:val="CommentText"/>
      </w:pPr>
      <w:r>
        <w:rPr>
          <w:rStyle w:val="CommentReference"/>
        </w:rPr>
        <w:annotationRef/>
      </w:r>
      <w:r>
        <w:t>We complete a formal risk assessment for all speakers.</w:t>
      </w:r>
    </w:p>
  </w:comment>
  <w:comment w:id="4" w:author="McNabb, Niamh" w:date="2019-04-29T10:27:00Z" w:initials="NM">
    <w:p w:rsidR="00732C2C" w:rsidRDefault="00732C2C">
      <w:pPr>
        <w:pStyle w:val="CommentText"/>
      </w:pPr>
      <w:r>
        <w:rPr>
          <w:rStyle w:val="CommentReference"/>
        </w:rPr>
        <w:annotationRef/>
      </w:r>
      <w:r>
        <w:t>Do we have to mention My Concern at this stage?</w:t>
      </w:r>
    </w:p>
  </w:comment>
  <w:comment w:id="5" w:author="McNabb, Niamh" w:date="2019-04-29T10:27:00Z" w:initials="NM">
    <w:p w:rsidR="00732C2C" w:rsidRDefault="00732C2C">
      <w:pPr>
        <w:pStyle w:val="CommentText"/>
      </w:pPr>
      <w:r>
        <w:rPr>
          <w:rStyle w:val="CommentReference"/>
        </w:rPr>
        <w:annotationRef/>
      </w:r>
      <w:r>
        <w:t>Evidence?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D6" w:rsidRDefault="00484CD6" w:rsidP="005B3032">
      <w:pPr>
        <w:spacing w:after="0" w:line="240" w:lineRule="auto"/>
      </w:pPr>
      <w:r>
        <w:separator/>
      </w:r>
    </w:p>
  </w:endnote>
  <w:endnote w:type="continuationSeparator" w:id="0">
    <w:p w:rsidR="00484CD6" w:rsidRDefault="00484CD6" w:rsidP="005B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32" w:rsidRDefault="005B3032">
    <w:pPr>
      <w:pStyle w:val="Footer"/>
    </w:pPr>
  </w:p>
  <w:p w:rsidR="005B3032" w:rsidRDefault="005B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D6" w:rsidRDefault="00484CD6" w:rsidP="005B3032">
      <w:pPr>
        <w:spacing w:after="0" w:line="240" w:lineRule="auto"/>
      </w:pPr>
      <w:r>
        <w:separator/>
      </w:r>
    </w:p>
  </w:footnote>
  <w:footnote w:type="continuationSeparator" w:id="0">
    <w:p w:rsidR="00484CD6" w:rsidRDefault="00484CD6" w:rsidP="005B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F09"/>
    <w:multiLevelType w:val="hybridMultilevel"/>
    <w:tmpl w:val="EF74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4C12"/>
    <w:multiLevelType w:val="hybridMultilevel"/>
    <w:tmpl w:val="7D98D1C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7141"/>
    <w:multiLevelType w:val="hybridMultilevel"/>
    <w:tmpl w:val="5AB8C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E2230"/>
    <w:multiLevelType w:val="hybridMultilevel"/>
    <w:tmpl w:val="7DD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26241"/>
    <w:multiLevelType w:val="hybridMultilevel"/>
    <w:tmpl w:val="46D82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F1557"/>
    <w:multiLevelType w:val="hybridMultilevel"/>
    <w:tmpl w:val="A778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D1182"/>
    <w:multiLevelType w:val="hybridMultilevel"/>
    <w:tmpl w:val="C99C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7211C"/>
    <w:multiLevelType w:val="hybridMultilevel"/>
    <w:tmpl w:val="F0D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LA0MDE3NjMxNrdQ0lEKTi0uzszPAykwrAUAAXgIYSwAAAA="/>
  </w:docVars>
  <w:rsids>
    <w:rsidRoot w:val="004D44B1"/>
    <w:rsid w:val="00090C92"/>
    <w:rsid w:val="00201A37"/>
    <w:rsid w:val="002069F6"/>
    <w:rsid w:val="002539EB"/>
    <w:rsid w:val="002D61C4"/>
    <w:rsid w:val="002E250F"/>
    <w:rsid w:val="003134C5"/>
    <w:rsid w:val="0032271C"/>
    <w:rsid w:val="00371528"/>
    <w:rsid w:val="0037649D"/>
    <w:rsid w:val="003E38A6"/>
    <w:rsid w:val="003E6884"/>
    <w:rsid w:val="004168CA"/>
    <w:rsid w:val="00484CD6"/>
    <w:rsid w:val="004D44B1"/>
    <w:rsid w:val="00511152"/>
    <w:rsid w:val="005B3032"/>
    <w:rsid w:val="005E57FD"/>
    <w:rsid w:val="0064401B"/>
    <w:rsid w:val="00667C14"/>
    <w:rsid w:val="006B0354"/>
    <w:rsid w:val="006F465B"/>
    <w:rsid w:val="00732C2C"/>
    <w:rsid w:val="00745D59"/>
    <w:rsid w:val="00792294"/>
    <w:rsid w:val="00807E62"/>
    <w:rsid w:val="00813033"/>
    <w:rsid w:val="00837A64"/>
    <w:rsid w:val="0084269F"/>
    <w:rsid w:val="00861A23"/>
    <w:rsid w:val="0086543F"/>
    <w:rsid w:val="008A0186"/>
    <w:rsid w:val="008E065E"/>
    <w:rsid w:val="008F014A"/>
    <w:rsid w:val="00903E10"/>
    <w:rsid w:val="009205F6"/>
    <w:rsid w:val="0096140C"/>
    <w:rsid w:val="00A2112A"/>
    <w:rsid w:val="00A2646A"/>
    <w:rsid w:val="00B85AEE"/>
    <w:rsid w:val="00BD0E91"/>
    <w:rsid w:val="00C31174"/>
    <w:rsid w:val="00C36E2E"/>
    <w:rsid w:val="00C75F30"/>
    <w:rsid w:val="00CE358B"/>
    <w:rsid w:val="00D15B95"/>
    <w:rsid w:val="00D45647"/>
    <w:rsid w:val="00D8075D"/>
    <w:rsid w:val="00E133B9"/>
    <w:rsid w:val="00E1724F"/>
    <w:rsid w:val="00E2464B"/>
    <w:rsid w:val="00E4667C"/>
    <w:rsid w:val="00E87D42"/>
    <w:rsid w:val="00E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32"/>
  </w:style>
  <w:style w:type="paragraph" w:styleId="Footer">
    <w:name w:val="footer"/>
    <w:basedOn w:val="Normal"/>
    <w:link w:val="Foot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32"/>
  </w:style>
  <w:style w:type="character" w:styleId="CommentReference">
    <w:name w:val="annotation reference"/>
    <w:basedOn w:val="DefaultParagraphFont"/>
    <w:uiPriority w:val="99"/>
    <w:semiHidden/>
    <w:unhideWhenUsed/>
    <w:rsid w:val="00322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2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32"/>
  </w:style>
  <w:style w:type="paragraph" w:styleId="Footer">
    <w:name w:val="footer"/>
    <w:basedOn w:val="Normal"/>
    <w:link w:val="FooterChar"/>
    <w:uiPriority w:val="99"/>
    <w:unhideWhenUsed/>
    <w:rsid w:val="005B3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32"/>
  </w:style>
  <w:style w:type="character" w:styleId="CommentReference">
    <w:name w:val="annotation reference"/>
    <w:basedOn w:val="DefaultParagraphFont"/>
    <w:uiPriority w:val="99"/>
    <w:semiHidden/>
    <w:unhideWhenUsed/>
    <w:rsid w:val="00322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2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news/guidance-on-promoting-british-values-in-schools-publishe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tai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vent@cambs.pnn.police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5925-0C15-450D-BB30-FECFB9D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 Nicky</dc:creator>
  <cp:lastModifiedBy>Futter, Abby</cp:lastModifiedBy>
  <cp:revision>2</cp:revision>
  <cp:lastPrinted>2019-04-29T15:41:00Z</cp:lastPrinted>
  <dcterms:created xsi:type="dcterms:W3CDTF">2019-05-16T11:49:00Z</dcterms:created>
  <dcterms:modified xsi:type="dcterms:W3CDTF">2019-05-16T11:49:00Z</dcterms:modified>
</cp:coreProperties>
</file>